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63E34B" w14:textId="5FE82083" w:rsidR="00240BAC" w:rsidRPr="00AC0E74" w:rsidRDefault="00000000">
      <w:pPr>
        <w:spacing w:before="200" w:after="60"/>
        <w:jc w:val="center"/>
      </w:pPr>
      <w:r>
        <w:rPr>
          <w:b/>
          <w:bCs/>
          <w:color w:val="0E5C53"/>
          <w:sz w:val="40"/>
          <w:szCs w:val="40"/>
        </w:rPr>
        <w:t>ПОЛИТИКА В ОБЛАСТИ УСТОЙЧИВОГО РАЗВИТИЯ</w:t>
      </w:r>
      <w:r w:rsidR="00AC0E74" w:rsidRPr="00AC0E74">
        <w:rPr>
          <w:b/>
          <w:bCs/>
          <w:color w:val="0E5C53"/>
          <w:sz w:val="40"/>
          <w:szCs w:val="40"/>
        </w:rPr>
        <w:t xml:space="preserve"> </w:t>
      </w:r>
      <w:r w:rsidR="00AC0E74">
        <w:rPr>
          <w:b/>
          <w:bCs/>
          <w:color w:val="0E5C53"/>
          <w:sz w:val="40"/>
          <w:szCs w:val="40"/>
        </w:rPr>
        <w:t xml:space="preserve">И </w:t>
      </w:r>
      <w:r w:rsidR="00AC0E74">
        <w:rPr>
          <w:b/>
          <w:bCs/>
          <w:color w:val="0E5C53"/>
          <w:sz w:val="40"/>
          <w:szCs w:val="40"/>
          <w:lang w:val="en-GB"/>
        </w:rPr>
        <w:t>ESG</w:t>
      </w:r>
    </w:p>
    <w:p w14:paraId="27137270" w14:textId="77777777" w:rsidR="00240BAC" w:rsidRPr="00207348" w:rsidRDefault="00000000">
      <w:pPr>
        <w:spacing w:after="300"/>
        <w:jc w:val="center"/>
        <w:rPr>
          <w:color w:val="20676B"/>
        </w:rPr>
      </w:pPr>
      <w:r w:rsidRPr="00207348">
        <w:rPr>
          <w:b/>
          <w:bCs/>
          <w:color w:val="20676B"/>
          <w:sz w:val="30"/>
          <w:szCs w:val="30"/>
        </w:rPr>
        <w:t>ООО «Дженерал лизинг»</w:t>
      </w:r>
    </w:p>
    <w:p w14:paraId="742E7F37" w14:textId="4EF253CE" w:rsidR="00240BAC" w:rsidRDefault="00000000" w:rsidP="00F41195">
      <w:r>
        <w:rPr>
          <w:b/>
          <w:bCs/>
          <w:color w:val="0E5C53"/>
          <w:sz w:val="32"/>
          <w:szCs w:val="32"/>
        </w:rPr>
        <w:t>Содержание</w:t>
      </w:r>
    </w:p>
    <w:sdt>
      <w:sdtPr>
        <w:alias w:val="Содержание"/>
        <w:id w:val="-420954570"/>
      </w:sdtPr>
      <w:sdtContent>
        <w:p w14:paraId="46ADF2F1" w14:textId="5F778774" w:rsidR="00F41195" w:rsidRDefault="00000000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4232214" w:history="1">
            <w:r w:rsidR="00F41195" w:rsidRPr="005E4668">
              <w:rPr>
                <w:rStyle w:val="a5"/>
                <w:noProof/>
              </w:rPr>
              <w:t>Преамбула</w:t>
            </w:r>
            <w:r w:rsidR="00F41195">
              <w:rPr>
                <w:noProof/>
              </w:rPr>
              <w:tab/>
            </w:r>
            <w:r w:rsidR="00F41195">
              <w:rPr>
                <w:noProof/>
              </w:rPr>
              <w:fldChar w:fldCharType="begin"/>
            </w:r>
            <w:r w:rsidR="00F41195">
              <w:rPr>
                <w:noProof/>
              </w:rPr>
              <w:instrText xml:space="preserve"> PAGEREF _Toc234232214 \h </w:instrText>
            </w:r>
            <w:r w:rsidR="00F41195">
              <w:rPr>
                <w:noProof/>
              </w:rPr>
            </w:r>
            <w:r w:rsidR="00F41195">
              <w:rPr>
                <w:noProof/>
              </w:rPr>
              <w:fldChar w:fldCharType="separate"/>
            </w:r>
            <w:r w:rsidR="00F41195">
              <w:rPr>
                <w:noProof/>
              </w:rPr>
              <w:t>2</w:t>
            </w:r>
            <w:r w:rsidR="00F41195">
              <w:rPr>
                <w:noProof/>
              </w:rPr>
              <w:fldChar w:fldCharType="end"/>
            </w:r>
          </w:hyperlink>
        </w:p>
        <w:p w14:paraId="1A4DDB9F" w14:textId="5E150F82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15" w:history="1">
            <w:r w:rsidRPr="005E4668">
              <w:rPr>
                <w:rStyle w:val="a5"/>
                <w:noProof/>
              </w:rPr>
              <w:t>1. Общие положения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_Toc234232215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37EF34F5" w14:textId="6060CAD1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16" w:history="1">
            <w:r w:rsidRPr="005E4668">
              <w:rPr>
                <w:rStyle w:val="a5"/>
                <w:noProof/>
              </w:rPr>
              <w:t>2. Термины, сокращения и определения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6ECF7ECE" w14:textId="62CEE64F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17" w:history="1">
            <w:r w:rsidRPr="005E4668">
              <w:rPr>
                <w:rStyle w:val="a5"/>
                <w:noProof/>
              </w:rPr>
              <w:t>3. Область действия Политики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2940A2F1" w14:textId="0E0F2810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18" w:history="1">
            <w:r w:rsidRPr="005E4668">
              <w:rPr>
                <w:rStyle w:val="a5"/>
                <w:noProof/>
              </w:rPr>
              <w:t>4. Цель и принципы деятельности Компании в области устойчивого развития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2FB7C601" w14:textId="415652EF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19" w:history="1">
            <w:r w:rsidRPr="005E4668">
              <w:rPr>
                <w:rStyle w:val="a5"/>
                <w:noProof/>
              </w:rPr>
              <w:t>5. Ключевые направления деятельности Компании в области устойчивого развития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833CEA9" w14:textId="679D4F3E" w:rsidR="00F41195" w:rsidRDefault="00F41195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0" w:history="1">
            <w:r w:rsidRPr="005E4668">
              <w:rPr>
                <w:rStyle w:val="a5"/>
                <w:noProof/>
              </w:rPr>
              <w:t>5.2. Окружающая среда (Environmental)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68BE902" w14:textId="2CB5410B" w:rsidR="00F41195" w:rsidRDefault="00F41195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1" w:history="1">
            <w:r w:rsidRPr="005E4668">
              <w:rPr>
                <w:rStyle w:val="a5"/>
                <w:noProof/>
              </w:rPr>
              <w:t>5.3. Социальная ответственность (Social)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076D3BC" w14:textId="7C148366" w:rsidR="00F41195" w:rsidRDefault="00F41195">
          <w:pPr>
            <w:pStyle w:val="20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2" w:history="1">
            <w:r w:rsidRPr="005E4668">
              <w:rPr>
                <w:rStyle w:val="a5"/>
                <w:noProof/>
              </w:rPr>
              <w:t>5.4. Корпоративное управление (Governance)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9A59D40" w14:textId="76020A57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3" w:history="1">
            <w:r w:rsidRPr="005E4668">
              <w:rPr>
                <w:rStyle w:val="a5"/>
                <w:noProof/>
              </w:rPr>
              <w:t>6. Управление нефинансовыми рисками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418E84CE" w14:textId="6E52289F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4" w:history="1">
            <w:r w:rsidRPr="005E4668">
              <w:rPr>
                <w:rStyle w:val="a5"/>
                <w:noProof/>
              </w:rPr>
              <w:t>7. Взаимодействие с заинтересованными сторонами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389A389" w14:textId="0A6CE13F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5" w:history="1">
            <w:r w:rsidRPr="005E4668">
              <w:rPr>
                <w:rStyle w:val="a5"/>
                <w:noProof/>
              </w:rPr>
              <w:t>8. Структура корпоративного управления устойчивым развитием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22538A4D" w14:textId="2BC42236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6" w:history="1">
            <w:r w:rsidRPr="005E4668">
              <w:rPr>
                <w:rStyle w:val="a5"/>
                <w:noProof/>
              </w:rPr>
              <w:t>9. Отчётность в области устойчивого развития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9ED630B" w14:textId="1071348A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7" w:history="1">
            <w:r w:rsidRPr="005E4668">
              <w:rPr>
                <w:rStyle w:val="a5"/>
                <w:noProof/>
              </w:rPr>
              <w:t>10. Заключительные положения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22FD8A3E" w14:textId="34A24FD1" w:rsidR="00F41195" w:rsidRDefault="00F41195">
          <w:pPr>
            <w:pStyle w:val="1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4232228" w:history="1">
            <w:r w:rsidRPr="005E4668">
              <w:rPr>
                <w:rStyle w:val="a5"/>
                <w:noProof/>
              </w:rPr>
              <w:t>Приложение 1. Перечень существенных тем и матрица существенности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_Toc234232228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26E74068" w14:textId="73AD3FEA" w:rsidR="00240BAC" w:rsidRDefault="00000000">
          <w:r>
            <w:fldChar w:fldCharType="end"/>
          </w:r>
        </w:p>
      </w:sdtContent>
    </w:sdt>
    <w:p w14:paraId="109E9819" w14:textId="77777777" w:rsidR="00240BAC" w:rsidRDefault="00000000">
      <w:r>
        <w:br w:type="page"/>
      </w:r>
    </w:p>
    <w:p w14:paraId="2F3DA10B" w14:textId="77777777" w:rsidR="00240BAC" w:rsidRDefault="00000000">
      <w:pPr>
        <w:pStyle w:val="1"/>
      </w:pPr>
      <w:bookmarkStart w:id="0" w:name="_Toc234232214"/>
      <w:r>
        <w:lastRenderedPageBreak/>
        <w:t>Преамбула</w:t>
      </w:r>
      <w:bookmarkEnd w:id="0"/>
    </w:p>
    <w:p w14:paraId="568D4B76" w14:textId="127C9863" w:rsidR="00207348" w:rsidRPr="00207348" w:rsidRDefault="00207348" w:rsidP="00207348">
      <w:pPr>
        <w:spacing w:after="120" w:line="276" w:lineRule="auto"/>
        <w:jc w:val="both"/>
      </w:pPr>
      <w:r w:rsidRPr="00207348">
        <w:t xml:space="preserve">Настоящая Политика </w:t>
      </w:r>
      <w:r w:rsidR="00AC0E74">
        <w:t xml:space="preserve">в области устойчивого развития и </w:t>
      </w:r>
      <w:r w:rsidR="00AC0E74">
        <w:rPr>
          <w:lang w:val="en-GB"/>
        </w:rPr>
        <w:t>ESG</w:t>
      </w:r>
      <w:r w:rsidR="00AC0E74" w:rsidRPr="00AC0E74">
        <w:t xml:space="preserve"> </w:t>
      </w:r>
      <w:r w:rsidRPr="00207348">
        <w:t>ООО «Дженерал лизинг»</w:t>
      </w:r>
      <w:r w:rsidR="00AC0E74">
        <w:t>, осуществляющего деятельность под брендом «Ringo»,</w:t>
      </w:r>
      <w:r w:rsidR="00AC0E74" w:rsidRPr="00AC0E74">
        <w:t xml:space="preserve"> (</w:t>
      </w:r>
      <w:r w:rsidR="00AC0E74">
        <w:t>далее – Политика, Компания</w:t>
      </w:r>
      <w:r w:rsidR="00AC0E74" w:rsidRPr="00AC0E74">
        <w:t>)</w:t>
      </w:r>
      <w:r w:rsidRPr="00207348">
        <w:t xml:space="preserve"> </w:t>
      </w:r>
      <w:r w:rsidR="00AC0E74" w:rsidRPr="00207348">
        <w:t>отражает подход</w:t>
      </w:r>
      <w:r w:rsidR="00AC0E74" w:rsidRPr="00AC0E74">
        <w:t xml:space="preserve">, </w:t>
      </w:r>
      <w:r w:rsidR="00AC0E74">
        <w:t>намерения</w:t>
      </w:r>
      <w:r w:rsidR="00AC0E74" w:rsidRPr="00207348">
        <w:t xml:space="preserve"> </w:t>
      </w:r>
      <w:r w:rsidR="00AC0E74">
        <w:t xml:space="preserve">и амбиции Компании </w:t>
      </w:r>
      <w:r w:rsidRPr="00207348">
        <w:t xml:space="preserve">к </w:t>
      </w:r>
      <w:r w:rsidR="00AC0E74">
        <w:t xml:space="preserve">управлению вопросами </w:t>
      </w:r>
      <w:r w:rsidRPr="00207348">
        <w:t>устойчив</w:t>
      </w:r>
      <w:r w:rsidR="00AC0E74">
        <w:t>ого</w:t>
      </w:r>
      <w:r w:rsidRPr="00207348">
        <w:t xml:space="preserve"> развити</w:t>
      </w:r>
      <w:r w:rsidR="00AC0E74">
        <w:t xml:space="preserve">я и </w:t>
      </w:r>
      <w:r w:rsidR="00AC0E74">
        <w:rPr>
          <w:lang w:val="en-GB"/>
        </w:rPr>
        <w:t>ESG</w:t>
      </w:r>
      <w:r w:rsidRPr="00207348">
        <w:t>. Компания осуществляет деятельность на рынке потребительского лизинга Беларус</w:t>
      </w:r>
      <w:r w:rsidR="00AC0E74">
        <w:t>и</w:t>
      </w:r>
      <w:r w:rsidRPr="00207348">
        <w:t>, предоставляя финансовые инструменты для приобретения транспортных средств физическими и юридическими лицами</w:t>
      </w:r>
      <w:r w:rsidR="00AC0E74">
        <w:t>, что учитывается Компанией при оценке уровня амбиций и целей в сфере устойчивого развития.</w:t>
      </w:r>
    </w:p>
    <w:p w14:paraId="4AED8209" w14:textId="0FEDA11D" w:rsidR="00240BAC" w:rsidRDefault="00000000">
      <w:pPr>
        <w:spacing w:after="120" w:line="276" w:lineRule="auto"/>
        <w:jc w:val="both"/>
      </w:pPr>
      <w:r>
        <w:t xml:space="preserve">Компания рассматривает устойчивое развитие как неотъемлемый элемент ответственного ведения бизнеса </w:t>
      </w:r>
      <w:r w:rsidR="00AC0E74">
        <w:t xml:space="preserve">в Беларуси </w:t>
      </w:r>
      <w:r>
        <w:t>и фактор создания долгосрочной ценности для клиентов, партнёров</w:t>
      </w:r>
      <w:r w:rsidR="00AC0E74">
        <w:t xml:space="preserve"> и всех иных заинтересованных сторон</w:t>
      </w:r>
      <w:r>
        <w:t xml:space="preserve">. </w:t>
      </w:r>
    </w:p>
    <w:p w14:paraId="14A27EA5" w14:textId="4036DEDC" w:rsidR="00240BAC" w:rsidRDefault="00000000">
      <w:pPr>
        <w:spacing w:after="120" w:line="276" w:lineRule="auto"/>
        <w:jc w:val="both"/>
      </w:pPr>
      <w:r>
        <w:t>Настоящей Политикой Компания декларирует приверженность принципам устойчивого развития</w:t>
      </w:r>
      <w:r w:rsidR="00AC0E74">
        <w:t>, зафиксированных в международных и национальных документах,</w:t>
      </w:r>
      <w:r>
        <w:t xml:space="preserve"> и подтверждает соответствие им своей деятельности, рассматривая их как основу для </w:t>
      </w:r>
      <w:r w:rsidR="00AC0E74">
        <w:t xml:space="preserve">долгосрочного </w:t>
      </w:r>
      <w:r>
        <w:t>развития</w:t>
      </w:r>
      <w:r w:rsidR="00AC0E74">
        <w:t>,</w:t>
      </w:r>
      <w:r>
        <w:t xml:space="preserve"> повышения инвестиционной привлекательности</w:t>
      </w:r>
      <w:r w:rsidR="00AC0E74">
        <w:t xml:space="preserve"> и отношений с заинтересованными сторонами Компании</w:t>
      </w:r>
      <w:r>
        <w:t>.</w:t>
      </w:r>
    </w:p>
    <w:p w14:paraId="38E13E95" w14:textId="77777777" w:rsidR="00240BAC" w:rsidRDefault="00000000">
      <w:pPr>
        <w:pStyle w:val="1"/>
      </w:pPr>
      <w:bookmarkStart w:id="1" w:name="_Toc234232215"/>
      <w:r>
        <w:t>1. Общие положения</w:t>
      </w:r>
      <w:bookmarkEnd w:id="1"/>
    </w:p>
    <w:p w14:paraId="342AAE46" w14:textId="50EEC663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1.1. </w:t>
      </w:r>
      <w:r>
        <w:t>Политика является основополагающим внутренним документом, определяющим подходы Компании по вопросам, относящимся к сфере устойчивого развития и ESG, как в рамках внутренних бизнес-процессов, так и при взаимодействии с заинтересованными сторонами.</w:t>
      </w:r>
    </w:p>
    <w:p w14:paraId="646C8C98" w14:textId="2377667E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1.2. </w:t>
      </w:r>
      <w:r>
        <w:t>Целью Политики является фиксация и систематизация подходов Компании в сфере устойчивого развития и ESG, а также выражение позиции Компании по соответствующим вопросам.</w:t>
      </w:r>
    </w:p>
    <w:p w14:paraId="325CB009" w14:textId="4799F570" w:rsidR="00240BAC" w:rsidRPr="0005084A" w:rsidRDefault="00000000">
      <w:pPr>
        <w:spacing w:after="100" w:line="276" w:lineRule="auto"/>
        <w:jc w:val="both"/>
      </w:pPr>
      <w:r>
        <w:rPr>
          <w:b/>
          <w:bCs/>
        </w:rPr>
        <w:t xml:space="preserve">1.3. </w:t>
      </w:r>
      <w:r w:rsidRPr="0005084A">
        <w:t xml:space="preserve">Политика разработана </w:t>
      </w:r>
      <w:r w:rsidR="0005084A">
        <w:t xml:space="preserve">в том числе </w:t>
      </w:r>
      <w:r w:rsidRPr="0005084A">
        <w:t>с учётом положений следующих документов:</w:t>
      </w:r>
    </w:p>
    <w:p w14:paraId="08FDD4D9" w14:textId="613DDB6D" w:rsidR="0005084A" w:rsidRDefault="0005084A" w:rsidP="005E6C23">
      <w:pPr>
        <w:pStyle w:val="a4"/>
        <w:numPr>
          <w:ilvl w:val="0"/>
          <w:numId w:val="3"/>
        </w:numPr>
        <w:spacing w:after="100" w:line="276" w:lineRule="auto"/>
        <w:jc w:val="both"/>
      </w:pPr>
      <w:r w:rsidRPr="0005084A">
        <w:t>Преобразование нашего мира: Повестка дня в области устойчивого развития на период до 2030 года</w:t>
      </w:r>
      <w:r>
        <w:t>;</w:t>
      </w:r>
    </w:p>
    <w:p w14:paraId="273BC674" w14:textId="7869AC24" w:rsidR="0005084A" w:rsidRPr="0005084A" w:rsidRDefault="0005084A" w:rsidP="005E6C23">
      <w:pPr>
        <w:pStyle w:val="a4"/>
        <w:numPr>
          <w:ilvl w:val="0"/>
          <w:numId w:val="3"/>
        </w:numPr>
        <w:spacing w:after="100" w:line="276" w:lineRule="auto"/>
        <w:jc w:val="both"/>
      </w:pPr>
      <w:r w:rsidRPr="0005084A">
        <w:t>Проект Национальной стратегии устойчивого развития Республики Беларусь до 2040 года (НСУР-2040);</w:t>
      </w:r>
    </w:p>
    <w:p w14:paraId="672E2388" w14:textId="0DDB0AD8" w:rsidR="005E6C23" w:rsidRPr="0005084A" w:rsidRDefault="005E6C23" w:rsidP="005E6C23">
      <w:pPr>
        <w:pStyle w:val="a4"/>
        <w:numPr>
          <w:ilvl w:val="0"/>
          <w:numId w:val="3"/>
        </w:numPr>
        <w:spacing w:after="100" w:line="276" w:lineRule="auto"/>
        <w:jc w:val="both"/>
        <w:rPr>
          <w:lang w:val="en-US"/>
        </w:rPr>
      </w:pPr>
      <w:r w:rsidRPr="0005084A">
        <w:t>Стандарты</w:t>
      </w:r>
      <w:r w:rsidRPr="0005084A">
        <w:rPr>
          <w:lang w:val="en-US"/>
        </w:rPr>
        <w:t xml:space="preserve"> </w:t>
      </w:r>
      <w:r w:rsidRPr="0005084A">
        <w:t>нефинансовой</w:t>
      </w:r>
      <w:r w:rsidRPr="0005084A">
        <w:rPr>
          <w:lang w:val="en-US"/>
        </w:rPr>
        <w:t xml:space="preserve"> </w:t>
      </w:r>
      <w:r w:rsidRPr="0005084A">
        <w:t>отчётности</w:t>
      </w:r>
      <w:r w:rsidRPr="0005084A">
        <w:rPr>
          <w:lang w:val="en-US"/>
        </w:rPr>
        <w:t xml:space="preserve"> Global Reporting Initiative (GRI);</w:t>
      </w:r>
    </w:p>
    <w:p w14:paraId="0E111B29" w14:textId="39E86169" w:rsidR="005E6C23" w:rsidRPr="0005084A" w:rsidRDefault="005E6C23" w:rsidP="005E6C23">
      <w:pPr>
        <w:pStyle w:val="a4"/>
        <w:numPr>
          <w:ilvl w:val="0"/>
          <w:numId w:val="3"/>
        </w:numPr>
        <w:spacing w:after="100" w:line="276" w:lineRule="auto"/>
        <w:jc w:val="both"/>
        <w:rPr>
          <w:lang w:val="en-US"/>
        </w:rPr>
      </w:pPr>
      <w:r w:rsidRPr="0005084A">
        <w:t>Методология</w:t>
      </w:r>
      <w:r w:rsidRPr="0005084A">
        <w:rPr>
          <w:lang w:val="en-US"/>
        </w:rPr>
        <w:t xml:space="preserve"> </w:t>
      </w:r>
      <w:r w:rsidRPr="0005084A">
        <w:t>присвоения</w:t>
      </w:r>
      <w:r w:rsidRPr="0005084A">
        <w:rPr>
          <w:lang w:val="en-US"/>
        </w:rPr>
        <w:t xml:space="preserve"> ESG-</w:t>
      </w:r>
      <w:r w:rsidRPr="0005084A">
        <w:t>рейтингов</w:t>
      </w:r>
      <w:r w:rsidRPr="0005084A">
        <w:rPr>
          <w:lang w:val="en-US"/>
        </w:rPr>
        <w:t xml:space="preserve"> BIK Ratings</w:t>
      </w:r>
      <w:r w:rsidR="0005084A" w:rsidRPr="0005084A">
        <w:rPr>
          <w:lang w:val="en-US"/>
        </w:rPr>
        <w:t>.</w:t>
      </w:r>
    </w:p>
    <w:p w14:paraId="4AFD1717" w14:textId="77777777" w:rsidR="00240BAC" w:rsidRDefault="00000000">
      <w:pPr>
        <w:pStyle w:val="1"/>
      </w:pPr>
      <w:bookmarkStart w:id="2" w:name="_Toc234232216"/>
      <w:r>
        <w:t>2. Термины, сокращения и определения</w:t>
      </w:r>
      <w:bookmarkEnd w:id="2"/>
    </w:p>
    <w:p w14:paraId="6A6B9A14" w14:textId="77777777" w:rsidR="00240BAC" w:rsidRDefault="00000000">
      <w:pPr>
        <w:spacing w:after="100" w:line="276" w:lineRule="auto"/>
        <w:jc w:val="both"/>
      </w:pPr>
      <w:r w:rsidRPr="0005084A">
        <w:rPr>
          <w:b/>
          <w:bCs/>
        </w:rPr>
        <w:t xml:space="preserve">2.1. </w:t>
      </w:r>
      <w:r w:rsidRPr="0005084A">
        <w:t>Термины и определения, используемые в Политике (в том числе «устойчивое развитие», «ESG», «существенные темы», «заинтересованные стороны», «двойная существенность», «нефинансовые риски»), понимаются в значении, установленном применимыми международными и национальными актами в сфере устойчивого развития и нефинансовой отчётности, а также общепринятой практикой в данной сфере.</w:t>
      </w:r>
    </w:p>
    <w:p w14:paraId="3D02F178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lastRenderedPageBreak/>
        <w:t xml:space="preserve">2.2. </w:t>
      </w:r>
      <w:r>
        <w:t>В случае расхождений в толковании термины применяются в значении, соответствующем законодательству Республики Беларусь и используемым Компанией стандартам нефинансовой отчётности.</w:t>
      </w:r>
    </w:p>
    <w:p w14:paraId="34F65A44" w14:textId="77777777" w:rsidR="00240BAC" w:rsidRDefault="00000000">
      <w:pPr>
        <w:pStyle w:val="1"/>
      </w:pPr>
      <w:bookmarkStart w:id="3" w:name="_Toc234232217"/>
      <w:r>
        <w:t>3. Область действия Политики</w:t>
      </w:r>
      <w:bookmarkEnd w:id="3"/>
    </w:p>
    <w:p w14:paraId="69F1BC17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3.1. </w:t>
      </w:r>
      <w:r>
        <w:t>Политика распространяется на всех сотрудников Компании независимо от занимаемой должности и обязательна для учёта в деятельности Компании и при принятии управленческих решений.</w:t>
      </w:r>
    </w:p>
    <w:p w14:paraId="79C9B2F1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3.2. </w:t>
      </w:r>
      <w:r>
        <w:t>Положения настоящей Политики учитываются при разработке внутренних документов, стратегий и процедур Компании в части, относящейся к вопросам устойчивого развития и ESG.</w:t>
      </w:r>
    </w:p>
    <w:p w14:paraId="49E2B9AB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3.3. </w:t>
      </w:r>
      <w:r>
        <w:t>Компания стремится распространять принципы устойчивого развития на свою цепочку создания стоимости, взаимодействуя с партнёрами и контрагентами на основе изложенных в Политике подходов.</w:t>
      </w:r>
    </w:p>
    <w:p w14:paraId="54A4DD30" w14:textId="7D952443" w:rsidR="0005084A" w:rsidRDefault="0005084A">
      <w:pPr>
        <w:spacing w:after="100" w:line="276" w:lineRule="auto"/>
        <w:jc w:val="both"/>
      </w:pPr>
      <w:r>
        <w:rPr>
          <w:b/>
          <w:bCs/>
        </w:rPr>
        <w:t xml:space="preserve">3.4. </w:t>
      </w:r>
      <w:r>
        <w:t>Компания призывает своих партнёров, поставщиков, подрядчиков и иных контрагентов придерживаться в своей деятельности принципов и подходов, изложенных в настоящей Политике.</w:t>
      </w:r>
    </w:p>
    <w:p w14:paraId="19F9A12D" w14:textId="77777777" w:rsidR="00240BAC" w:rsidRDefault="00000000">
      <w:pPr>
        <w:pStyle w:val="1"/>
      </w:pPr>
      <w:bookmarkStart w:id="4" w:name="_Toc234232218"/>
      <w:r>
        <w:t>4. Цель и принципы деятельности Компании в области устойчивого развития</w:t>
      </w:r>
      <w:bookmarkEnd w:id="4"/>
    </w:p>
    <w:p w14:paraId="18A8FCD6" w14:textId="5A64743E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4.1. </w:t>
      </w:r>
      <w:r>
        <w:t xml:space="preserve">Целью Компании в сфере устойчивого развития и ESG является создание долгосрочной ценности для всех заинтересованных сторон через ответственное ведение бизнеса и устойчивый рост, сопровождающийся </w:t>
      </w:r>
      <w:r w:rsidR="0005084A">
        <w:t xml:space="preserve">пристальным </w:t>
      </w:r>
      <w:r>
        <w:t>вниманием к социальной ответственности, этичному управлению и бережному отношению к окружающей среде.</w:t>
      </w:r>
    </w:p>
    <w:p w14:paraId="25F86E24" w14:textId="192E81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4.2. </w:t>
      </w:r>
      <w:r>
        <w:t xml:space="preserve">В своей деятельности в области устойчивого развития Компания </w:t>
      </w:r>
      <w:r w:rsidR="0005084A">
        <w:t xml:space="preserve">в том числе </w:t>
      </w:r>
      <w:r>
        <w:t>руководствуется следующими принципами:</w:t>
      </w:r>
    </w:p>
    <w:p w14:paraId="4044ABE6" w14:textId="16081D71" w:rsidR="005E6C23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t xml:space="preserve">Соблюдение законодательства. </w:t>
      </w:r>
      <w:r>
        <w:t xml:space="preserve">Компания осуществляет деятельность в соответствии с требованиями национального и применимого международного законодательства, </w:t>
      </w:r>
      <w:r w:rsidR="0005084A">
        <w:t xml:space="preserve">а также ответственно </w:t>
      </w:r>
      <w:r>
        <w:t>выполняет принятые на себя обязательства.</w:t>
      </w:r>
    </w:p>
    <w:p w14:paraId="5DACB18E" w14:textId="7A1CFB88" w:rsidR="005E6C23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t xml:space="preserve">Долгосрочная экономическая ценность. </w:t>
      </w:r>
      <w:r>
        <w:t xml:space="preserve">Компания содействует созданию экономики, в которой развитие бизнеса способствует благополучию общества </w:t>
      </w:r>
      <w:r w:rsidR="0005084A">
        <w:t>в целом</w:t>
      </w:r>
      <w:r>
        <w:t>.</w:t>
      </w:r>
    </w:p>
    <w:p w14:paraId="5570DA81" w14:textId="77777777" w:rsidR="005E6C23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t xml:space="preserve">Соблюдение прав человека. </w:t>
      </w:r>
      <w:r>
        <w:t>Компания признаёт всеобщность прав человека, поддерживает инклюзивность, справедливое и равное отношение ко всем.</w:t>
      </w:r>
    </w:p>
    <w:p w14:paraId="5C89296B" w14:textId="77777777" w:rsidR="005E6C23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t xml:space="preserve">Этичное ведение бизнеса. </w:t>
      </w:r>
      <w:r>
        <w:t>Компания следует принципам честности и порядочности, противодействует коррупции и соблюдает принципы деловой этики.</w:t>
      </w:r>
    </w:p>
    <w:p w14:paraId="7A624DFA" w14:textId="26C007F5" w:rsidR="005E6C23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t xml:space="preserve">Ответственное отношение к окружающей среде. </w:t>
      </w:r>
      <w:r>
        <w:t>Компания стремится к рациональному использованию ресурсов и содействию осознанному потреблению</w:t>
      </w:r>
      <w:r w:rsidR="0005084A">
        <w:t>, в том числе</w:t>
      </w:r>
      <w:r>
        <w:t xml:space="preserve"> через свои продукты и решения.</w:t>
      </w:r>
    </w:p>
    <w:p w14:paraId="75DDCCB7" w14:textId="77777777" w:rsidR="005E6C23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t xml:space="preserve">Управление нефинансовыми рисками. </w:t>
      </w:r>
      <w:r>
        <w:t>Компания развивает систему управления нефинансовыми рисками и возможностями с учётом ESG-факторов.</w:t>
      </w:r>
    </w:p>
    <w:p w14:paraId="5A01DB64" w14:textId="446871AD" w:rsidR="00240BAC" w:rsidRDefault="00000000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 w:rsidRPr="005E6C23">
        <w:rPr>
          <w:b/>
          <w:bCs/>
        </w:rPr>
        <w:lastRenderedPageBreak/>
        <w:t xml:space="preserve">Информационная открытость и прозрачность. </w:t>
      </w:r>
      <w:r>
        <w:t>Компания стремится к повышению информированности заинтересованных сторон о своих решениях и действиях, оказывающих воздействие на общество, экономику и окружающую среду.</w:t>
      </w:r>
    </w:p>
    <w:p w14:paraId="144A767B" w14:textId="77777777" w:rsidR="00240BAC" w:rsidRDefault="00000000">
      <w:pPr>
        <w:pStyle w:val="1"/>
      </w:pPr>
      <w:bookmarkStart w:id="5" w:name="_Toc234232219"/>
      <w:r>
        <w:t>5. Ключевые направления деятельности Компании в области устойчивого развития</w:t>
      </w:r>
      <w:bookmarkEnd w:id="5"/>
    </w:p>
    <w:p w14:paraId="07AFF66C" w14:textId="2EBAC421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5.1. </w:t>
      </w:r>
      <w:r>
        <w:t xml:space="preserve">Компания выделяет три ключевых направления деятельности в </w:t>
      </w:r>
      <w:r w:rsidR="0005084A">
        <w:t>нефинансовой сфере: окружающая среда, социальная ответственность, корпоративное управление</w:t>
      </w:r>
      <w:r>
        <w:t xml:space="preserve">. </w:t>
      </w:r>
      <w:r w:rsidR="0005084A">
        <w:t>Содержание</w:t>
      </w:r>
      <w:r>
        <w:t xml:space="preserve"> направлений </w:t>
      </w:r>
      <w:r w:rsidR="00E07F39">
        <w:t xml:space="preserve">определено в соответствии с подходами </w:t>
      </w:r>
      <w:r w:rsidR="00E07F39">
        <w:rPr>
          <w:lang w:val="en-GB"/>
        </w:rPr>
        <w:t>GRI</w:t>
      </w:r>
      <w:r w:rsidR="00E07F39" w:rsidRPr="00E07F39">
        <w:t xml:space="preserve"> </w:t>
      </w:r>
      <w:r w:rsidR="00E07F39">
        <w:t xml:space="preserve">и </w:t>
      </w:r>
      <w:r>
        <w:t xml:space="preserve">отражает специфику Компании как лизинговой организации: прямое экологическое воздействие ограничено, а основное воздействие реализуется опосредованно </w:t>
      </w:r>
      <w:r w:rsidR="005E6C23">
        <w:t>–</w:t>
      </w:r>
      <w:r>
        <w:t xml:space="preserve"> через структуру лизингового портфеля, тогда как наибольшая значимость приходится на социальную сферу и сферу корпоративного управления. Полный перечень существенных тем и подход к их выявлению приведены в Приложении 1 к настоящей Политике.</w:t>
      </w:r>
    </w:p>
    <w:p w14:paraId="048D4762" w14:textId="77777777" w:rsidR="00240BAC" w:rsidRPr="00207348" w:rsidRDefault="00000000">
      <w:pPr>
        <w:pStyle w:val="2"/>
        <w:rPr>
          <w:color w:val="20676B"/>
        </w:rPr>
      </w:pPr>
      <w:bookmarkStart w:id="6" w:name="_Toc234232220"/>
      <w:r w:rsidRPr="00207348">
        <w:rPr>
          <w:color w:val="20676B"/>
        </w:rPr>
        <w:t>5.2. Окружающая среда (Environmental)</w:t>
      </w:r>
      <w:bookmarkEnd w:id="6"/>
    </w:p>
    <w:p w14:paraId="3AF82C48" w14:textId="25D45C63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5.2.1. </w:t>
      </w:r>
      <w:r>
        <w:t>Прямое воздействие Компании на окружающую среду ограничено и носит преимущественно опосредованный характер, реализуясь через собственные операционные процессы</w:t>
      </w:r>
      <w:r w:rsidR="00E07F39">
        <w:t xml:space="preserve"> и</w:t>
      </w:r>
      <w:r>
        <w:t xml:space="preserve"> структуру лизингового портфеля. Компания стремится:</w:t>
      </w:r>
    </w:p>
    <w:p w14:paraId="5DC78A0A" w14:textId="77CBC9C6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Снижать собственный экологический след за счёт рационального использования ресурсов и энергосбережения;</w:t>
      </w:r>
    </w:p>
    <w:p w14:paraId="4B079133" w14:textId="3B332787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Развивать практики электронного документооборота (ЭДО) и сокращать бумажный документооборот;</w:t>
      </w:r>
    </w:p>
    <w:p w14:paraId="7C5A3D1F" w14:textId="2D57B762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Способствовать формированию ответственной экологической повестки, в том числе через финансирование (лизинг) более современных и менее ресурсоёмких автомобилей и энергоэффективного транспорта;</w:t>
      </w:r>
    </w:p>
    <w:p w14:paraId="2CE7C82C" w14:textId="341775B1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Содействовать развитию культуры осознанного потребления через предоставляемые продукты и сервисы.</w:t>
      </w:r>
    </w:p>
    <w:p w14:paraId="52F707D7" w14:textId="2B41F488" w:rsidR="00240BAC" w:rsidRPr="00207348" w:rsidRDefault="00000000">
      <w:pPr>
        <w:pStyle w:val="2"/>
        <w:rPr>
          <w:color w:val="20676B"/>
        </w:rPr>
      </w:pPr>
      <w:bookmarkStart w:id="7" w:name="_Toc234232221"/>
      <w:r w:rsidRPr="00207348">
        <w:rPr>
          <w:color w:val="20676B"/>
        </w:rPr>
        <w:t xml:space="preserve">5.3. </w:t>
      </w:r>
      <w:r w:rsidR="0005084A">
        <w:rPr>
          <w:color w:val="20676B"/>
        </w:rPr>
        <w:t xml:space="preserve">Социальная </w:t>
      </w:r>
      <w:r w:rsidR="00E07F39">
        <w:rPr>
          <w:color w:val="20676B"/>
        </w:rPr>
        <w:t>ответственность</w:t>
      </w:r>
      <w:r w:rsidRPr="00207348">
        <w:rPr>
          <w:color w:val="20676B"/>
        </w:rPr>
        <w:t xml:space="preserve"> (Social)</w:t>
      </w:r>
      <w:bookmarkEnd w:id="7"/>
    </w:p>
    <w:p w14:paraId="69F4A45C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5.3.1. </w:t>
      </w:r>
      <w:r>
        <w:t>Компания рассматривает социальное направление как приоритетное и акцентирует внимание на следующих аспектах:</w:t>
      </w:r>
    </w:p>
    <w:p w14:paraId="695254C8" w14:textId="71238606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Обеспечение безопасной рабочей среды и достойных условий труда;</w:t>
      </w:r>
    </w:p>
    <w:p w14:paraId="168B640F" w14:textId="07972B5B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Развитие и обучение сотрудников, поддержка профессионального и личностного роста;</w:t>
      </w:r>
    </w:p>
    <w:p w14:paraId="7C8A6066" w14:textId="021FD7DC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Разнообразие и инклюзивность, равные права и возможности;</w:t>
      </w:r>
    </w:p>
    <w:p w14:paraId="63A117CC" w14:textId="56E45355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Развитие местных сообществ и позитивное влияние на регионы присутствия.</w:t>
      </w:r>
    </w:p>
    <w:p w14:paraId="361AD8C8" w14:textId="77777777" w:rsidR="00240BAC" w:rsidRPr="00207348" w:rsidRDefault="00000000">
      <w:pPr>
        <w:pStyle w:val="2"/>
        <w:rPr>
          <w:color w:val="20676B"/>
        </w:rPr>
      </w:pPr>
      <w:bookmarkStart w:id="8" w:name="_Toc234232222"/>
      <w:r w:rsidRPr="00207348">
        <w:rPr>
          <w:color w:val="20676B"/>
        </w:rPr>
        <w:t>5.4. Корпоративное управление (Governance)</w:t>
      </w:r>
      <w:bookmarkEnd w:id="8"/>
    </w:p>
    <w:p w14:paraId="3EFB4B2C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5.4.1. </w:t>
      </w:r>
      <w:r>
        <w:t>Компания уделяет первостепенное внимание совершенствованию практик корпоративного управления и управлению нефинансовыми рисками, акцентируя внимание на следующих аспектах:</w:t>
      </w:r>
    </w:p>
    <w:p w14:paraId="497F9AA5" w14:textId="62A7CE3B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Кибербезопасность и конфиденциальность данных, борьба с мошенничеством;</w:t>
      </w:r>
    </w:p>
    <w:p w14:paraId="3F5C869B" w14:textId="384E54FC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Управление рисками, в том числе нефинансовыми;</w:t>
      </w:r>
    </w:p>
    <w:p w14:paraId="5BA4B9E7" w14:textId="36397A2A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lastRenderedPageBreak/>
        <w:t>Противодействие коррупции, соблюдение принципов деловой этики;</w:t>
      </w:r>
    </w:p>
    <w:p w14:paraId="597CCBB3" w14:textId="4C9C9AF5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Совершенствование системы корпоративного управления, в том числе в сфере ESG;</w:t>
      </w:r>
    </w:p>
    <w:p w14:paraId="239F8ABD" w14:textId="0357BD15" w:rsidR="00240BAC" w:rsidRDefault="005E6C23" w:rsidP="005E6C23">
      <w:pPr>
        <w:pStyle w:val="a4"/>
        <w:numPr>
          <w:ilvl w:val="0"/>
          <w:numId w:val="4"/>
        </w:numPr>
        <w:spacing w:after="60" w:line="264" w:lineRule="auto"/>
        <w:jc w:val="both"/>
      </w:pPr>
      <w:r>
        <w:t>Ответственное финансирование и доступность финансовых продуктов и услуг.</w:t>
      </w:r>
    </w:p>
    <w:p w14:paraId="3A9A400A" w14:textId="77777777" w:rsidR="00240BAC" w:rsidRPr="00207348" w:rsidRDefault="00000000">
      <w:pPr>
        <w:pStyle w:val="1"/>
        <w:rPr>
          <w:color w:val="20676B"/>
        </w:rPr>
      </w:pPr>
      <w:bookmarkStart w:id="9" w:name="_Toc234232223"/>
      <w:r w:rsidRPr="00207348">
        <w:rPr>
          <w:color w:val="20676B"/>
        </w:rPr>
        <w:t>6. Управление нефинансовыми рисками</w:t>
      </w:r>
      <w:bookmarkEnd w:id="9"/>
    </w:p>
    <w:p w14:paraId="4A978F22" w14:textId="4E02E9B9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6.1. </w:t>
      </w:r>
      <w:r>
        <w:t>При принятии управленческих решений Компания учитывает нефинансовые риски, связанные с ESG-факторами, и развивает систему управления такими рисками как часть общей системы управления рисками.</w:t>
      </w:r>
    </w:p>
    <w:p w14:paraId="335ADA7A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6.2. </w:t>
      </w:r>
      <w:r>
        <w:t>Выявление и оценка нефинансовых рисков осуществляются с учётом мнений заинтересованных сторон и результатов оценки существенности.</w:t>
      </w:r>
    </w:p>
    <w:p w14:paraId="3F7C4CF7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6.3. </w:t>
      </w:r>
      <w:r>
        <w:t>Управление нефинансовыми рисками рассматривается Компанией как фактор повышения качества корпоративного управления и инвестиционной привлекательности.</w:t>
      </w:r>
    </w:p>
    <w:p w14:paraId="1EA186FC" w14:textId="77777777" w:rsidR="00240BAC" w:rsidRDefault="00000000">
      <w:pPr>
        <w:pStyle w:val="1"/>
      </w:pPr>
      <w:bookmarkStart w:id="10" w:name="_Toc234232224"/>
      <w:r>
        <w:t>7. Взаимодействие с заинтересованными сторонами</w:t>
      </w:r>
      <w:bookmarkEnd w:id="10"/>
    </w:p>
    <w:p w14:paraId="35C43090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7.1. </w:t>
      </w:r>
      <w:r>
        <w:t>Взаимодействие с заинтересованными сторонами является ключевым условием реализации настоящей Политики. В отношениях со стейкхолдерами Компания прилагает усилия для учёта их интересов на основе уважения, честности и прозрачности.</w:t>
      </w:r>
    </w:p>
    <w:p w14:paraId="4287D4EF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7.2. </w:t>
      </w:r>
      <w:r>
        <w:t>Основными группами заинтересованных сторон Компании являются:</w:t>
      </w:r>
    </w:p>
    <w:p w14:paraId="7000BFBF" w14:textId="2206E6B2" w:rsidR="00240BAC" w:rsidRDefault="00000000">
      <w:pPr>
        <w:pStyle w:val="a4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внутренние стороны: </w:t>
      </w:r>
      <w:r w:rsidR="00E07F39" w:rsidRPr="00E07F39">
        <w:t>собственники и акционеры,</w:t>
      </w:r>
      <w:r>
        <w:t xml:space="preserve"> топ-менеджмент, сотрудники;</w:t>
      </w:r>
    </w:p>
    <w:p w14:paraId="67C8E3F1" w14:textId="3F5E2BE5" w:rsidR="00240BAC" w:rsidRDefault="00000000">
      <w:pPr>
        <w:pStyle w:val="a4"/>
        <w:numPr>
          <w:ilvl w:val="0"/>
          <w:numId w:val="2"/>
        </w:numPr>
        <w:spacing w:after="60" w:line="264" w:lineRule="auto"/>
        <w:jc w:val="both"/>
      </w:pPr>
      <w:r>
        <w:rPr>
          <w:b/>
          <w:bCs/>
        </w:rPr>
        <w:t xml:space="preserve">внешние стороны: </w:t>
      </w:r>
      <w:r w:rsidR="004D6474">
        <w:t xml:space="preserve">клиенты, </w:t>
      </w:r>
      <w:r>
        <w:t>компании Группы Go, банки, поставщики, регулятор, рейтингов</w:t>
      </w:r>
      <w:r w:rsidR="004D6474">
        <w:t>ые</w:t>
      </w:r>
      <w:r>
        <w:t xml:space="preserve"> агентств</w:t>
      </w:r>
      <w:r w:rsidR="004D6474">
        <w:t>а</w:t>
      </w:r>
      <w:r>
        <w:t xml:space="preserve">, </w:t>
      </w:r>
      <w:r w:rsidR="004D6474">
        <w:t xml:space="preserve">релевантные </w:t>
      </w:r>
      <w:r>
        <w:t>средства массовой информации,</w:t>
      </w:r>
      <w:r w:rsidR="004D6474">
        <w:t xml:space="preserve"> образовательные учреждения,</w:t>
      </w:r>
      <w:r>
        <w:t xml:space="preserve"> а также прочие стейкхолдеры</w:t>
      </w:r>
      <w:r w:rsidR="004D6474">
        <w:t>.</w:t>
      </w:r>
      <w:r>
        <w:t xml:space="preserve"> </w:t>
      </w:r>
    </w:p>
    <w:p w14:paraId="20DD816C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7.3. </w:t>
      </w:r>
      <w:r>
        <w:t>Приоритетные направления деятельности и перечень существенных тем (Приложение 1 к настоящей Политике) определены на основе проведённой оценки существенности с учётом мнений ключевых групп заинтересованных сторон. Перечень основных групп стейкхолдеров и существенных тем может пересматриваться на регулярной основе.</w:t>
      </w:r>
    </w:p>
    <w:p w14:paraId="6CBAE326" w14:textId="77777777" w:rsidR="00240BAC" w:rsidRDefault="00000000">
      <w:pPr>
        <w:pStyle w:val="1"/>
      </w:pPr>
      <w:bookmarkStart w:id="11" w:name="_Toc234232225"/>
      <w:r>
        <w:t>8. Структура корпоративного управления устойчивым развитием</w:t>
      </w:r>
      <w:bookmarkEnd w:id="11"/>
    </w:p>
    <w:p w14:paraId="58A91D9E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8.1. </w:t>
      </w:r>
      <w:r>
        <w:t>Деятельность в области устойчивого развития не является функцией отдельного структурного подразделения, а присутствует в деятельности всех подразделений Компании.</w:t>
      </w:r>
    </w:p>
    <w:p w14:paraId="6AE21721" w14:textId="4B8B1040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8.2. </w:t>
      </w:r>
      <w:r>
        <w:t>Ответственность за общую координацию и ведение тематики устойчивого развития и ESG в Компании закрепляется за</w:t>
      </w:r>
      <w:r w:rsidR="005E6C23">
        <w:t xml:space="preserve"> </w:t>
      </w:r>
      <w:r w:rsidR="00E856D8">
        <w:t xml:space="preserve">Директором или </w:t>
      </w:r>
      <w:r w:rsidR="008B69E0" w:rsidRPr="008B69E0">
        <w:t>Первы</w:t>
      </w:r>
      <w:r w:rsidR="008B69E0">
        <w:t>м</w:t>
      </w:r>
      <w:r w:rsidR="008B69E0" w:rsidRPr="008B69E0">
        <w:t xml:space="preserve"> заместител</w:t>
      </w:r>
      <w:r w:rsidR="008B69E0">
        <w:t>ем</w:t>
      </w:r>
      <w:r w:rsidR="008B69E0" w:rsidRPr="008B69E0">
        <w:t xml:space="preserve"> директора</w:t>
      </w:r>
      <w:r w:rsidR="005E6C23" w:rsidRPr="008B69E0">
        <w:t>.</w:t>
      </w:r>
      <w:r w:rsidR="005E6C23">
        <w:t xml:space="preserve"> </w:t>
      </w:r>
      <w:r>
        <w:t xml:space="preserve">Распределение ответственности </w:t>
      </w:r>
      <w:r w:rsidR="005E6C23">
        <w:t>по</w:t>
      </w:r>
      <w:r>
        <w:t xml:space="preserve"> вопрос</w:t>
      </w:r>
      <w:r w:rsidR="005E6C23">
        <w:t>ам</w:t>
      </w:r>
      <w:r>
        <w:t xml:space="preserve"> устойчивого развития строится по уровням</w:t>
      </w:r>
      <w:r w:rsidR="005E6C23"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0"/>
        <w:gridCol w:w="3900"/>
      </w:tblGrid>
      <w:tr w:rsidR="00240BAC" w14:paraId="76FB0785" w14:textId="77777777" w:rsidTr="00207348">
        <w:trPr>
          <w:tblHeader/>
        </w:trPr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067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9E39EE" w14:textId="77777777" w:rsidR="00240BAC" w:rsidRDefault="00000000">
            <w:r>
              <w:rPr>
                <w:b/>
                <w:bCs/>
                <w:color w:val="FFFFFF"/>
              </w:rPr>
              <w:lastRenderedPageBreak/>
              <w:t>ESG в корпоративном управлении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067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163B6" w14:textId="2E78ED73" w:rsidR="00240BAC" w:rsidRDefault="00000000">
            <w:r>
              <w:rPr>
                <w:b/>
                <w:bCs/>
                <w:color w:val="FFFFFF"/>
              </w:rPr>
              <w:t>Держател</w:t>
            </w:r>
            <w:r w:rsidR="00E856D8">
              <w:rPr>
                <w:b/>
                <w:bCs/>
                <w:color w:val="FFFFFF"/>
              </w:rPr>
              <w:t>и</w:t>
            </w:r>
          </w:p>
        </w:tc>
      </w:tr>
      <w:tr w:rsidR="00240BAC" w14:paraId="138A8C9E" w14:textId="77777777"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C6152" w14:textId="7A2C41CD" w:rsidR="00240BAC" w:rsidRDefault="00000000">
            <w:r>
              <w:t>Стратегия устойчивого развити</w:t>
            </w:r>
            <w:r w:rsidR="00E856D8">
              <w:t>я и</w:t>
            </w:r>
            <w:r>
              <w:t xml:space="preserve"> нефинансовая отчётность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E3EC3" w14:textId="1EF69DEF" w:rsidR="00240BAC" w:rsidRDefault="008B69E0">
            <w:r>
              <w:rPr>
                <w:b/>
                <w:bCs/>
              </w:rPr>
              <w:t>Директор</w:t>
            </w:r>
            <w:r w:rsidR="00E856D8">
              <w:rPr>
                <w:b/>
                <w:bCs/>
              </w:rPr>
              <w:t>,</w:t>
            </w:r>
            <w:r w:rsidR="004D6474">
              <w:rPr>
                <w:b/>
                <w:bCs/>
              </w:rPr>
              <w:t xml:space="preserve"> </w:t>
            </w:r>
            <w:r w:rsidR="00E856D8">
              <w:rPr>
                <w:b/>
                <w:bCs/>
              </w:rPr>
              <w:t xml:space="preserve">первый заместитель директора, </w:t>
            </w:r>
            <w:r w:rsidRPr="008B69E0">
              <w:rPr>
                <w:b/>
                <w:bCs/>
              </w:rPr>
              <w:t>заместитель</w:t>
            </w:r>
            <w:r w:rsidR="00E856D8">
              <w:rPr>
                <w:b/>
                <w:bCs/>
              </w:rPr>
              <w:t xml:space="preserve"> директора</w:t>
            </w:r>
            <w:r w:rsidRPr="008B69E0">
              <w:rPr>
                <w:b/>
                <w:bCs/>
              </w:rPr>
              <w:t xml:space="preserve"> по финансам</w:t>
            </w:r>
          </w:p>
        </w:tc>
      </w:tr>
      <w:tr w:rsidR="00240BAC" w14:paraId="6B95B65A" w14:textId="77777777"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4151B4" w14:textId="77777777" w:rsidR="00240BAC" w:rsidRDefault="00000000">
            <w:r>
              <w:t>Отраслевые стратегии и политики (экология, социальные инвестиции, HR, информационная безопасность и др.)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E84B17" w14:textId="7BA6C981" w:rsidR="00240BAC" w:rsidRDefault="00000000">
            <w:r>
              <w:rPr>
                <w:b/>
                <w:bCs/>
              </w:rPr>
              <w:t xml:space="preserve">Профильные </w:t>
            </w:r>
            <w:r w:rsidR="004D6474">
              <w:rPr>
                <w:b/>
                <w:bCs/>
              </w:rPr>
              <w:t>структурные подразделения</w:t>
            </w:r>
          </w:p>
        </w:tc>
      </w:tr>
      <w:tr w:rsidR="00240BAC" w14:paraId="310BC222" w14:textId="77777777">
        <w:tc>
          <w:tcPr>
            <w:tcW w:w="54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81846B" w14:textId="77777777" w:rsidR="00240BAC" w:rsidRDefault="00000000">
            <w:r>
              <w:t>Активность в сфере социальной и экологической ответственности</w:t>
            </w:r>
          </w:p>
        </w:tc>
        <w:tc>
          <w:tcPr>
            <w:tcW w:w="39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1E21A" w14:textId="77777777" w:rsidR="00240BAC" w:rsidRDefault="00000000">
            <w:r>
              <w:rPr>
                <w:b/>
                <w:bCs/>
              </w:rPr>
              <w:t>Все сотрудники</w:t>
            </w:r>
          </w:p>
        </w:tc>
      </w:tr>
    </w:tbl>
    <w:p w14:paraId="72158C4C" w14:textId="77777777" w:rsidR="004D6474" w:rsidRDefault="004D6474">
      <w:pPr>
        <w:spacing w:after="100" w:line="276" w:lineRule="auto"/>
        <w:jc w:val="both"/>
        <w:rPr>
          <w:b/>
          <w:bCs/>
        </w:rPr>
      </w:pPr>
    </w:p>
    <w:p w14:paraId="2B235F28" w14:textId="488D5C2A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8.3. </w:t>
      </w:r>
      <w:r>
        <w:t>Высший орган управления Компании утверждает настоящую Политику и принимает концептуальные решения о направлениях развития Компании в области устойчивого развития. Порядок операционной деятельности в области устойчивого развития определяется внутренними документами Компании.</w:t>
      </w:r>
    </w:p>
    <w:p w14:paraId="07063BFB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8.4. </w:t>
      </w:r>
      <w:r>
        <w:t>Внутренние документы Компании в области устойчивого развития формируют единую иерархию, обеспечивающую последовательность подходов по компонентам E, S и G.</w:t>
      </w:r>
    </w:p>
    <w:p w14:paraId="1537B360" w14:textId="77777777" w:rsidR="00240BAC" w:rsidRDefault="00000000">
      <w:pPr>
        <w:pStyle w:val="1"/>
      </w:pPr>
      <w:bookmarkStart w:id="12" w:name="_Toc234232226"/>
      <w:r>
        <w:t>9. Отчётность в области устойчивого развития</w:t>
      </w:r>
      <w:bookmarkEnd w:id="12"/>
    </w:p>
    <w:p w14:paraId="14E91D47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9.1. </w:t>
      </w:r>
      <w:r>
        <w:t>Стремясь к открытости и информационной прозрачности, Компания рассматривает доступность информации о своей нефинансовой деятельности как важный элемент взаимодействия с заинтересованными сторонами.</w:t>
      </w:r>
    </w:p>
    <w:p w14:paraId="4E14F77F" w14:textId="2A3067A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9.2. </w:t>
      </w:r>
      <w:r>
        <w:t xml:space="preserve">Компания планирует осуществлять подготовку публичной нефинансовой отчётности (в составе </w:t>
      </w:r>
      <w:r w:rsidR="00207348">
        <w:t>ежегодного</w:t>
      </w:r>
      <w:r>
        <w:t xml:space="preserve"> отчёта или в виде отдельного документа), ориентируясь на международные стандарты нефинансовой отчётности (GRI) и национальную нормативную базу.</w:t>
      </w:r>
    </w:p>
    <w:p w14:paraId="1567A0A6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9.3. </w:t>
      </w:r>
      <w:r>
        <w:t>Практика нефинансовой отчётности увязывается со стратегическими целями Компании и существенными темами, что обеспечивает системность подхода и повышает доверие стейкхолдеров.</w:t>
      </w:r>
    </w:p>
    <w:p w14:paraId="438ACE28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9.4. </w:t>
      </w:r>
      <w:r>
        <w:t>Компания осуществляет мониторинг эффективности реализации ключевых направлений деятельности в области устойчивого развития.</w:t>
      </w:r>
    </w:p>
    <w:p w14:paraId="3F13A3CE" w14:textId="77777777" w:rsidR="00240BAC" w:rsidRDefault="00000000">
      <w:pPr>
        <w:pStyle w:val="1"/>
      </w:pPr>
      <w:bookmarkStart w:id="13" w:name="_Toc234232227"/>
      <w:r>
        <w:t>10. Заключительные положения</w:t>
      </w:r>
      <w:bookmarkEnd w:id="13"/>
    </w:p>
    <w:p w14:paraId="6F7FF66A" w14:textId="77777777" w:rsidR="00240BAC" w:rsidRDefault="00000000">
      <w:pPr>
        <w:spacing w:after="100" w:line="276" w:lineRule="auto"/>
        <w:jc w:val="both"/>
      </w:pPr>
      <w:r>
        <w:rPr>
          <w:b/>
          <w:bCs/>
        </w:rPr>
        <w:t xml:space="preserve">10.1. </w:t>
      </w:r>
      <w:r>
        <w:t>Настоящая Политика вступает в силу с даты её утверждения уполномоченным органом Компании и действует бессрочно.</w:t>
      </w:r>
    </w:p>
    <w:p w14:paraId="4D0EAEDD" w14:textId="619A6CF1" w:rsidR="00240BAC" w:rsidRDefault="00000000" w:rsidP="007C6FC4">
      <w:pPr>
        <w:spacing w:after="100" w:line="276" w:lineRule="auto"/>
        <w:jc w:val="both"/>
      </w:pPr>
      <w:r>
        <w:rPr>
          <w:b/>
          <w:bCs/>
        </w:rPr>
        <w:t xml:space="preserve">10.2. </w:t>
      </w:r>
      <w:r>
        <w:t>Политика, а также изменения и дополнения к ней утверждаются уполномоченным органом Компании и могут быть пересмотрены в случае появления значимых внутренних и внешних обстоятельств.</w:t>
      </w:r>
    </w:p>
    <w:tbl>
      <w:tblPr>
        <w:tblW w:w="5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9"/>
      </w:tblGrid>
      <w:tr w:rsidR="007C6FC4" w14:paraId="56F694E8" w14:textId="77777777" w:rsidTr="007C6FC4">
        <w:tc>
          <w:tcPr>
            <w:tcW w:w="595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6804AD" w14:textId="77777777" w:rsidR="007C6FC4" w:rsidRDefault="007C6FC4">
            <w:pPr>
              <w:spacing w:after="120"/>
            </w:pPr>
            <w:r>
              <w:rPr>
                <w:b/>
                <w:bCs/>
              </w:rPr>
              <w:t>Утверждено:</w:t>
            </w:r>
          </w:p>
          <w:p w14:paraId="56884207" w14:textId="0888476D" w:rsidR="007C6FC4" w:rsidRDefault="007C6FC4">
            <w:pPr>
              <w:spacing w:after="80"/>
            </w:pPr>
            <w:r>
              <w:t xml:space="preserve">Приказ № 5 от 07 июля 2026 года </w:t>
            </w:r>
          </w:p>
          <w:p w14:paraId="4459F6EF" w14:textId="10D42F8D" w:rsidR="007C6FC4" w:rsidRDefault="007C6FC4">
            <w:pPr>
              <w:spacing w:after="80"/>
            </w:pPr>
            <w:r>
              <w:t>Должность: Первый заместитель директора</w:t>
            </w:r>
          </w:p>
          <w:p w14:paraId="4A631A59" w14:textId="7624AB89" w:rsidR="007C6FC4" w:rsidRDefault="007C6FC4">
            <w:r>
              <w:t>Дата: 07 июля 2026 года</w:t>
            </w:r>
          </w:p>
        </w:tc>
      </w:tr>
    </w:tbl>
    <w:p w14:paraId="4F5926C6" w14:textId="0B6FD50B" w:rsidR="00240BAC" w:rsidRDefault="00000000" w:rsidP="007C6FC4">
      <w:pPr>
        <w:pStyle w:val="1"/>
      </w:pPr>
      <w:r>
        <w:br w:type="page"/>
      </w:r>
      <w:bookmarkStart w:id="14" w:name="_Toc234232228"/>
      <w:r>
        <w:lastRenderedPageBreak/>
        <w:t>Приложение 1. Перечень существенных тем и матрица существенности</w:t>
      </w:r>
      <w:bookmarkEnd w:id="14"/>
    </w:p>
    <w:p w14:paraId="2A315292" w14:textId="6B5A43C4" w:rsidR="00240BAC" w:rsidRDefault="00000000">
      <w:pPr>
        <w:spacing w:after="120" w:line="276" w:lineRule="auto"/>
        <w:jc w:val="both"/>
      </w:pPr>
      <w:r>
        <w:t xml:space="preserve">Существенные темы </w:t>
      </w:r>
      <w:r w:rsidR="00207348">
        <w:t>–</w:t>
      </w:r>
      <w:r w:rsidR="004D6474">
        <w:t xml:space="preserve"> </w:t>
      </w:r>
      <w:r>
        <w:t>тем</w:t>
      </w:r>
      <w:r w:rsidR="004D6474">
        <w:t>ы</w:t>
      </w:r>
      <w:r>
        <w:t xml:space="preserve"> в области устойчивого развития, в рамках которых Компания оказывает наиболее существенное воздействие на экономику, общество и окружающую среду и которые наиболее значимы для заинтересованных сторон.</w:t>
      </w:r>
    </w:p>
    <w:p w14:paraId="4139804F" w14:textId="77777777" w:rsidR="00240BAC" w:rsidRDefault="00000000">
      <w:pPr>
        <w:spacing w:after="60"/>
      </w:pPr>
      <w:r>
        <w:rPr>
          <w:b/>
          <w:bCs/>
          <w:color w:val="0E5C53"/>
        </w:rPr>
        <w:t>Подход к выявлению существенных тем</w:t>
      </w:r>
    </w:p>
    <w:p w14:paraId="55FC254C" w14:textId="554D5E00" w:rsidR="00240BAC" w:rsidRDefault="00000000">
      <w:pPr>
        <w:spacing w:after="120" w:line="276" w:lineRule="auto"/>
        <w:jc w:val="both"/>
      </w:pPr>
      <w:r>
        <w:t>Перечень существенных тем сформирован по результатам оценки существенности, выполненной в соответствии со стандартами GRI на основе опроса ключевых групп внутренних и внешних заинтересованных сторон. По результатам опроса рассчитаны средние оценки значимости тем, на основании которых темы распределены по уровням значимости и визуализированы в виде матрицы существенности.</w:t>
      </w:r>
    </w:p>
    <w:p w14:paraId="452FC334" w14:textId="77777777" w:rsidR="00240BAC" w:rsidRDefault="00000000">
      <w:pPr>
        <w:spacing w:after="60"/>
      </w:pPr>
      <w:r>
        <w:rPr>
          <w:b/>
          <w:bCs/>
          <w:color w:val="0E5C53"/>
        </w:rPr>
        <w:t>Подход к обновлению перечня</w:t>
      </w:r>
    </w:p>
    <w:p w14:paraId="54607FA0" w14:textId="77777777" w:rsidR="00240BAC" w:rsidRDefault="00000000">
      <w:pPr>
        <w:spacing w:after="120" w:line="276" w:lineRule="auto"/>
        <w:jc w:val="both"/>
      </w:pPr>
      <w:r>
        <w:t>Перечень существенных тем пересматривается на регулярной основе (как правило, не реже одного раза в год), а также при появлении значимых внутренних и внешних обстоятельств. Существенные темы являются основой для определения приоритетных направлений деятельности Компании, формирования отраслевых политик и подготовки нефинансовой отчётности.</w:t>
      </w:r>
    </w:p>
    <w:p w14:paraId="150CFFE2" w14:textId="33F2BCCE" w:rsidR="00240BAC" w:rsidRDefault="00000000">
      <w:pPr>
        <w:spacing w:before="120" w:after="60"/>
      </w:pPr>
      <w:r>
        <w:rPr>
          <w:b/>
          <w:bCs/>
          <w:color w:val="0E5C53"/>
        </w:rPr>
        <w:t xml:space="preserve">Уровень I (наиболее </w:t>
      </w:r>
      <w:r w:rsidR="004D6474">
        <w:rPr>
          <w:b/>
          <w:bCs/>
          <w:color w:val="0E5C53"/>
        </w:rPr>
        <w:t xml:space="preserve">значимые </w:t>
      </w:r>
      <w:r>
        <w:rPr>
          <w:b/>
          <w:bCs/>
          <w:color w:val="0E5C53"/>
        </w:rPr>
        <w:t>существенные темы)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40BAC" w14:paraId="0A6D4E8F" w14:textId="77777777" w:rsidTr="00207348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067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14404" w14:textId="77777777" w:rsidR="00240BAC" w:rsidRDefault="00000000">
            <w:r>
              <w:rPr>
                <w:b/>
                <w:bCs/>
                <w:color w:val="FFFFFF"/>
              </w:rPr>
              <w:t>Компонент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067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5B08CC" w14:textId="77777777" w:rsidR="00240BAC" w:rsidRDefault="00000000">
            <w:r>
              <w:rPr>
                <w:b/>
                <w:bCs/>
                <w:color w:val="FFFFFF"/>
              </w:rPr>
              <w:t>Существенные темы</w:t>
            </w:r>
          </w:p>
        </w:tc>
      </w:tr>
      <w:tr w:rsidR="00240BAC" w14:paraId="1BB828C0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B6C43" w14:textId="77777777" w:rsidR="00240BAC" w:rsidRDefault="00000000">
            <w:r>
              <w:rPr>
                <w:b/>
                <w:bCs/>
              </w:rPr>
              <w:t>Environmental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25158B" w14:textId="61CFD7E5" w:rsidR="00240BAC" w:rsidRPr="00207348" w:rsidRDefault="00207348">
            <w:pPr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240BAC" w14:paraId="281E9FD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00A85" w14:textId="77777777" w:rsidR="00240BAC" w:rsidRDefault="00000000">
            <w:r>
              <w:rPr>
                <w:b/>
                <w:bCs/>
              </w:rPr>
              <w:t>Social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A04FB5" w14:textId="77777777" w:rsidR="00240BAC" w:rsidRDefault="00000000">
            <w:r>
              <w:t>Безопасная рабочая среда; развитие и обучение сотрудников</w:t>
            </w:r>
          </w:p>
        </w:tc>
      </w:tr>
      <w:tr w:rsidR="00240BAC" w14:paraId="04A9148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E781E1" w14:textId="77777777" w:rsidR="00240BAC" w:rsidRDefault="00000000">
            <w:r>
              <w:rPr>
                <w:b/>
                <w:bCs/>
              </w:rPr>
              <w:t>Governance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6E6F1B" w14:textId="77777777" w:rsidR="00240BAC" w:rsidRDefault="00000000">
            <w:r>
              <w:t>Кибербезопасность и конфиденциальность данных, борьба с мошенничеством; управление рисками; совершенствование системы корпоративного управления; противодействие коррупции; ответственное финансирование и доступность финансовых продуктов и услуг</w:t>
            </w:r>
          </w:p>
        </w:tc>
      </w:tr>
    </w:tbl>
    <w:p w14:paraId="65858850" w14:textId="46B14207" w:rsidR="00240BAC" w:rsidRDefault="00000000">
      <w:pPr>
        <w:spacing w:before="160" w:after="60"/>
      </w:pPr>
      <w:r>
        <w:rPr>
          <w:b/>
          <w:bCs/>
          <w:color w:val="0E5C53"/>
        </w:rPr>
        <w:t xml:space="preserve">Уровень II </w:t>
      </w:r>
      <w:r w:rsidR="004D6474">
        <w:rPr>
          <w:b/>
          <w:bCs/>
          <w:color w:val="0E5C53"/>
        </w:rPr>
        <w:t>(существенные темы с меньшим воздействием со стороны Компании)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40BAC" w14:paraId="206AC685" w14:textId="77777777" w:rsidTr="00207348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067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B4169" w14:textId="77777777" w:rsidR="00240BAC" w:rsidRDefault="00000000">
            <w:r>
              <w:rPr>
                <w:b/>
                <w:bCs/>
                <w:color w:val="FFFFFF"/>
              </w:rPr>
              <w:t>Компонент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0676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99414B" w14:textId="77777777" w:rsidR="00240BAC" w:rsidRDefault="00000000">
            <w:r>
              <w:rPr>
                <w:b/>
                <w:bCs/>
                <w:color w:val="FFFFFF"/>
              </w:rPr>
              <w:t>Существенные темы</w:t>
            </w:r>
          </w:p>
        </w:tc>
      </w:tr>
      <w:tr w:rsidR="00240BAC" w14:paraId="766B01E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EA1DA" w14:textId="77777777" w:rsidR="00240BAC" w:rsidRDefault="00000000">
            <w:r>
              <w:rPr>
                <w:b/>
                <w:bCs/>
              </w:rPr>
              <w:t>Environmental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A3F140" w14:textId="77777777" w:rsidR="00240BAC" w:rsidRDefault="00000000">
            <w:r>
              <w:t>Снижение негативного влияния на окружающую среду</w:t>
            </w:r>
          </w:p>
        </w:tc>
      </w:tr>
      <w:tr w:rsidR="00240BAC" w14:paraId="65F2044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352370" w14:textId="77777777" w:rsidR="00240BAC" w:rsidRDefault="00000000">
            <w:r>
              <w:rPr>
                <w:b/>
                <w:bCs/>
              </w:rPr>
              <w:t>Social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D206E" w14:textId="77777777" w:rsidR="00240BAC" w:rsidRDefault="00000000">
            <w:r>
              <w:t>Разнообразие и инклюзивность; развитие местных сообществ</w:t>
            </w:r>
          </w:p>
        </w:tc>
      </w:tr>
      <w:tr w:rsidR="00240BAC" w14:paraId="4ADFA42C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9A6931" w14:textId="77777777" w:rsidR="00240BAC" w:rsidRDefault="00000000">
            <w:r>
              <w:rPr>
                <w:b/>
                <w:bCs/>
              </w:rPr>
              <w:t>Governance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C23107" w14:textId="77777777" w:rsidR="00240BAC" w:rsidRDefault="00000000">
            <w:r>
              <w:t>Совершенствование системы корпоративного управления в сфере ESG</w:t>
            </w:r>
          </w:p>
        </w:tc>
      </w:tr>
    </w:tbl>
    <w:p w14:paraId="73A76B0D" w14:textId="15519D18" w:rsidR="00240BAC" w:rsidRDefault="00240BAC" w:rsidP="004D6474">
      <w:pPr>
        <w:spacing w:before="160" w:after="60"/>
      </w:pPr>
    </w:p>
    <w:sectPr w:rsidR="00240BA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FBA514" w14:textId="77777777" w:rsidR="008E114F" w:rsidRDefault="008E114F">
      <w:r>
        <w:separator/>
      </w:r>
    </w:p>
  </w:endnote>
  <w:endnote w:type="continuationSeparator" w:id="0">
    <w:p w14:paraId="10D2DAF5" w14:textId="77777777" w:rsidR="008E114F" w:rsidRDefault="008E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E99590" w14:textId="77777777" w:rsidR="005E6C23" w:rsidRDefault="005E6C23">
    <w:pPr>
      <w:jc w:val="center"/>
      <w:rPr>
        <w:color w:val="888888"/>
        <w:sz w:val="16"/>
        <w:szCs w:val="16"/>
        <w:lang w:val="en-US"/>
      </w:rPr>
    </w:pPr>
  </w:p>
  <w:p w14:paraId="5F7541F7" w14:textId="034D6A09" w:rsidR="00240BAC" w:rsidRDefault="00000000">
    <w:pPr>
      <w:jc w:val="center"/>
    </w:pP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5E6C23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EEA674" w14:textId="77777777" w:rsidR="008E114F" w:rsidRDefault="008E114F">
      <w:r>
        <w:separator/>
      </w:r>
    </w:p>
  </w:footnote>
  <w:footnote w:type="continuationSeparator" w:id="0">
    <w:p w14:paraId="77F55E54" w14:textId="77777777" w:rsidR="008E114F" w:rsidRDefault="008E1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B34D5C" w14:textId="19AB7454" w:rsidR="007C6FC4" w:rsidRPr="00207348" w:rsidRDefault="00000000" w:rsidP="007C6FC4">
    <w:pPr>
      <w:pBdr>
        <w:bottom w:val="single" w:sz="4" w:space="2" w:color="16A085"/>
      </w:pBdr>
      <w:jc w:val="right"/>
      <w:rPr>
        <w:color w:val="888888"/>
        <w:sz w:val="16"/>
        <w:szCs w:val="16"/>
      </w:rPr>
    </w:pPr>
    <w:r>
      <w:rPr>
        <w:color w:val="888888"/>
        <w:sz w:val="16"/>
        <w:szCs w:val="16"/>
      </w:rPr>
      <w:t xml:space="preserve">Политика в области устойчивого развития </w:t>
    </w:r>
    <w:r w:rsidR="00207348">
      <w:rPr>
        <w:color w:val="888888"/>
        <w:sz w:val="16"/>
        <w:szCs w:val="16"/>
        <w:lang w:val="en-US"/>
      </w:rPr>
      <w:t>Ringo</w:t>
    </w:r>
  </w:p>
  <w:p w14:paraId="7D2FC6F0" w14:textId="77777777" w:rsidR="007C6FC4" w:rsidRDefault="007C6F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886063"/>
    <w:multiLevelType w:val="hybridMultilevel"/>
    <w:tmpl w:val="E564ECDE"/>
    <w:lvl w:ilvl="0" w:tplc="95D699E0">
      <w:start w:val="1"/>
      <w:numFmt w:val="bullet"/>
      <w:lvlText w:val="●"/>
      <w:lvlJc w:val="left"/>
      <w:pPr>
        <w:ind w:left="720" w:hanging="360"/>
      </w:pPr>
    </w:lvl>
    <w:lvl w:ilvl="1" w:tplc="C97E81AA">
      <w:start w:val="1"/>
      <w:numFmt w:val="bullet"/>
      <w:lvlText w:val="○"/>
      <w:lvlJc w:val="left"/>
      <w:pPr>
        <w:ind w:left="1440" w:hanging="360"/>
      </w:pPr>
    </w:lvl>
    <w:lvl w:ilvl="2" w:tplc="D458C54A">
      <w:start w:val="1"/>
      <w:numFmt w:val="bullet"/>
      <w:lvlText w:val="■"/>
      <w:lvlJc w:val="left"/>
      <w:pPr>
        <w:ind w:left="2160" w:hanging="360"/>
      </w:pPr>
    </w:lvl>
    <w:lvl w:ilvl="3" w:tplc="571676A4">
      <w:start w:val="1"/>
      <w:numFmt w:val="bullet"/>
      <w:lvlText w:val="●"/>
      <w:lvlJc w:val="left"/>
      <w:pPr>
        <w:ind w:left="2880" w:hanging="360"/>
      </w:pPr>
    </w:lvl>
    <w:lvl w:ilvl="4" w:tplc="D368C132">
      <w:start w:val="1"/>
      <w:numFmt w:val="bullet"/>
      <w:lvlText w:val="○"/>
      <w:lvlJc w:val="left"/>
      <w:pPr>
        <w:ind w:left="3600" w:hanging="360"/>
      </w:pPr>
    </w:lvl>
    <w:lvl w:ilvl="5" w:tplc="10F8476C">
      <w:start w:val="1"/>
      <w:numFmt w:val="bullet"/>
      <w:lvlText w:val="■"/>
      <w:lvlJc w:val="left"/>
      <w:pPr>
        <w:ind w:left="4320" w:hanging="360"/>
      </w:pPr>
    </w:lvl>
    <w:lvl w:ilvl="6" w:tplc="52D2AE52">
      <w:start w:val="1"/>
      <w:numFmt w:val="bullet"/>
      <w:lvlText w:val="●"/>
      <w:lvlJc w:val="left"/>
      <w:pPr>
        <w:ind w:left="5040" w:hanging="360"/>
      </w:pPr>
    </w:lvl>
    <w:lvl w:ilvl="7" w:tplc="EDFC9D22">
      <w:start w:val="1"/>
      <w:numFmt w:val="bullet"/>
      <w:lvlText w:val="●"/>
      <w:lvlJc w:val="left"/>
      <w:pPr>
        <w:ind w:left="5760" w:hanging="360"/>
      </w:pPr>
    </w:lvl>
    <w:lvl w:ilvl="8" w:tplc="C8B2C9E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5BC7D16"/>
    <w:multiLevelType w:val="hybridMultilevel"/>
    <w:tmpl w:val="106C502C"/>
    <w:lvl w:ilvl="0" w:tplc="1B4457C2">
      <w:start w:val="1"/>
      <w:numFmt w:val="bullet"/>
      <w:lvlText w:val="•"/>
      <w:lvlJc w:val="left"/>
      <w:pPr>
        <w:ind w:left="720" w:hanging="360"/>
      </w:pPr>
    </w:lvl>
    <w:lvl w:ilvl="1" w:tplc="3FFE7E64">
      <w:numFmt w:val="decimal"/>
      <w:lvlText w:val=""/>
      <w:lvlJc w:val="left"/>
    </w:lvl>
    <w:lvl w:ilvl="2" w:tplc="5A607B30">
      <w:numFmt w:val="decimal"/>
      <w:lvlText w:val=""/>
      <w:lvlJc w:val="left"/>
    </w:lvl>
    <w:lvl w:ilvl="3" w:tplc="57BEAC3C">
      <w:numFmt w:val="decimal"/>
      <w:lvlText w:val=""/>
      <w:lvlJc w:val="left"/>
    </w:lvl>
    <w:lvl w:ilvl="4" w:tplc="061E12E2">
      <w:numFmt w:val="decimal"/>
      <w:lvlText w:val=""/>
      <w:lvlJc w:val="left"/>
    </w:lvl>
    <w:lvl w:ilvl="5" w:tplc="A40E5E62">
      <w:numFmt w:val="decimal"/>
      <w:lvlText w:val=""/>
      <w:lvlJc w:val="left"/>
    </w:lvl>
    <w:lvl w:ilvl="6" w:tplc="34D05792">
      <w:numFmt w:val="decimal"/>
      <w:lvlText w:val=""/>
      <w:lvlJc w:val="left"/>
    </w:lvl>
    <w:lvl w:ilvl="7" w:tplc="ED686540">
      <w:numFmt w:val="decimal"/>
      <w:lvlText w:val=""/>
      <w:lvlJc w:val="left"/>
    </w:lvl>
    <w:lvl w:ilvl="8" w:tplc="BD9CB1C0">
      <w:numFmt w:val="decimal"/>
      <w:lvlText w:val=""/>
      <w:lvlJc w:val="left"/>
    </w:lvl>
  </w:abstractNum>
  <w:abstractNum w:abstractNumId="2" w15:restartNumberingAfterBreak="0">
    <w:nsid w:val="4B246DD7"/>
    <w:multiLevelType w:val="hybridMultilevel"/>
    <w:tmpl w:val="6212DDB0"/>
    <w:lvl w:ilvl="0" w:tplc="CE3422A8">
      <w:start w:val="1"/>
      <w:numFmt w:val="bullet"/>
      <w:lvlText w:val="●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32413"/>
    <w:multiLevelType w:val="hybridMultilevel"/>
    <w:tmpl w:val="66B83A54"/>
    <w:lvl w:ilvl="0" w:tplc="CE3422A8">
      <w:start w:val="1"/>
      <w:numFmt w:val="bullet"/>
      <w:lvlText w:val="●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3033">
    <w:abstractNumId w:val="0"/>
    <w:lvlOverride w:ilvl="0">
      <w:startOverride w:val="1"/>
    </w:lvlOverride>
  </w:num>
  <w:num w:numId="2" w16cid:durableId="1842817390">
    <w:abstractNumId w:val="1"/>
    <w:lvlOverride w:ilvl="0">
      <w:startOverride w:val="1"/>
    </w:lvlOverride>
  </w:num>
  <w:num w:numId="3" w16cid:durableId="1986205271">
    <w:abstractNumId w:val="2"/>
  </w:num>
  <w:num w:numId="4" w16cid:durableId="58369105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BAC"/>
    <w:rsid w:val="0005084A"/>
    <w:rsid w:val="00163052"/>
    <w:rsid w:val="00207348"/>
    <w:rsid w:val="00240BAC"/>
    <w:rsid w:val="00286D04"/>
    <w:rsid w:val="002E278E"/>
    <w:rsid w:val="004D6474"/>
    <w:rsid w:val="005C750C"/>
    <w:rsid w:val="005E6C23"/>
    <w:rsid w:val="006166FC"/>
    <w:rsid w:val="00627864"/>
    <w:rsid w:val="007C6FC4"/>
    <w:rsid w:val="008B69E0"/>
    <w:rsid w:val="008E114F"/>
    <w:rsid w:val="00946E35"/>
    <w:rsid w:val="00AC0E74"/>
    <w:rsid w:val="00B96033"/>
    <w:rsid w:val="00E07F39"/>
    <w:rsid w:val="00E856D8"/>
    <w:rsid w:val="00F4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EFFE50"/>
  <w15:docId w15:val="{8F008E7D-DA3A-A447-9A5E-60116557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60"/>
      <w:outlineLvl w:val="0"/>
    </w:pPr>
    <w:rPr>
      <w:b/>
      <w:bCs/>
      <w:color w:val="0E5C53"/>
      <w:sz w:val="28"/>
      <w:szCs w:val="28"/>
    </w:rPr>
  </w:style>
  <w:style w:type="paragraph" w:styleId="2">
    <w:name w:val="heading 2"/>
    <w:uiPriority w:val="9"/>
    <w:unhideWhenUsed/>
    <w:qFormat/>
    <w:pPr>
      <w:spacing w:before="180" w:after="120"/>
      <w:outlineLvl w:val="1"/>
    </w:pPr>
    <w:rPr>
      <w:b/>
      <w:bCs/>
      <w:color w:val="16A085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5E6C23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5E6C23"/>
    <w:pPr>
      <w:spacing w:after="100"/>
      <w:ind w:left="220"/>
    </w:pPr>
  </w:style>
  <w:style w:type="paragraph" w:styleId="ac">
    <w:name w:val="header"/>
    <w:basedOn w:val="a"/>
    <w:link w:val="ad"/>
    <w:uiPriority w:val="99"/>
    <w:unhideWhenUsed/>
    <w:rsid w:val="005E6C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E6C23"/>
  </w:style>
  <w:style w:type="paragraph" w:styleId="ae">
    <w:name w:val="footer"/>
    <w:basedOn w:val="a"/>
    <w:link w:val="af"/>
    <w:uiPriority w:val="99"/>
    <w:unhideWhenUsed/>
    <w:rsid w:val="005E6C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E6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08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 в области устойчивого развития ООО «Дженерал лизинг»</vt:lpstr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области устойчивого развития ООО «Дженерал лизинг»</dc:title>
  <dc:creator>ООО «Дженерал лизинг»</dc:creator>
  <cp:lastModifiedBy>Дарина Маркевич</cp:lastModifiedBy>
  <cp:revision>2</cp:revision>
  <dcterms:created xsi:type="dcterms:W3CDTF">2026-07-14T14:18:00Z</dcterms:created>
  <dcterms:modified xsi:type="dcterms:W3CDTF">2026-07-14T14:18:00Z</dcterms:modified>
</cp:coreProperties>
</file>